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DB" w:rsidRDefault="002332DB"/>
    <w:p w:rsidR="008E3654" w:rsidRPr="006D46A8" w:rsidRDefault="008E3654" w:rsidP="008E365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CURS 4</w:t>
      </w:r>
      <w:r w:rsidRPr="009A64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CATARACTA SI GLAUCOMUL</w:t>
      </w:r>
    </w:p>
    <w:p w:rsidR="008E3654" w:rsidRPr="002A047F" w:rsidRDefault="008E3654" w:rsidP="008E3654">
      <w:pPr>
        <w:pStyle w:val="ListParagraph"/>
        <w:rPr>
          <w:sz w:val="28"/>
          <w:szCs w:val="28"/>
        </w:rPr>
      </w:pPr>
      <w:r>
        <w:t xml:space="preserve">                                                          </w:t>
      </w:r>
      <w:r w:rsidRPr="002A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2A047F">
        <w:rPr>
          <w:sz w:val="28"/>
          <w:szCs w:val="28"/>
        </w:rPr>
        <w:t>(Prezentare sintetică)</w:t>
      </w:r>
    </w:p>
    <w:p w:rsidR="008E3654" w:rsidRDefault="008E3654" w:rsidP="008E3654">
      <w:pPr>
        <w:pStyle w:val="ListParagraph"/>
      </w:pPr>
    </w:p>
    <w:p w:rsidR="008E3654" w:rsidRDefault="008E3654" w:rsidP="008E3654">
      <w:pPr>
        <w:pStyle w:val="ListParagraph"/>
      </w:pPr>
      <w:r>
        <w:t>Bibliografie : Carmen Mocanu – Diagnostic pozitiv şi diferenţial în oftalmologie – curs pentru</w:t>
      </w:r>
    </w:p>
    <w:p w:rsidR="008E3654" w:rsidRDefault="008E3654" w:rsidP="008E3654">
      <w:pPr>
        <w:pStyle w:val="ListParagraph"/>
      </w:pPr>
      <w:r>
        <w:t xml:space="preserve">                                                                                                   studenţi, </w:t>
      </w:r>
      <w:proofErr w:type="spellStart"/>
      <w:r>
        <w:t>Ed</w:t>
      </w:r>
      <w:proofErr w:type="spellEnd"/>
      <w:r>
        <w:t xml:space="preserve"> </w:t>
      </w:r>
      <w:proofErr w:type="spellStart"/>
      <w:r>
        <w:t>Sitech</w:t>
      </w:r>
      <w:proofErr w:type="spellEnd"/>
      <w:r>
        <w:t>,  Craiova, 2020</w:t>
      </w:r>
    </w:p>
    <w:p w:rsidR="008E3654" w:rsidRDefault="008E3654" w:rsidP="008E3654">
      <w:r>
        <w:t xml:space="preserve">                        Paul Cernea – Tratat de oftalmologie, </w:t>
      </w:r>
      <w:proofErr w:type="spellStart"/>
      <w:r>
        <w:t>Ed</w:t>
      </w:r>
      <w:proofErr w:type="spellEnd"/>
      <w:r>
        <w:t xml:space="preserve"> Medicală, Bucureşti, 2006</w:t>
      </w:r>
    </w:p>
    <w:p w:rsidR="008E3654" w:rsidRDefault="008E3654" w:rsidP="008E3654"/>
    <w:p w:rsidR="008E3654" w:rsidRDefault="008E3654" w:rsidP="008E3654">
      <w:r>
        <w:t>CATARACTA</w:t>
      </w:r>
    </w:p>
    <w:p w:rsidR="008E3654" w:rsidRPr="00C66EB5" w:rsidRDefault="008E3654" w:rsidP="008E3654">
      <w:pPr>
        <w:pStyle w:val="BodyTextIndent2"/>
        <w:ind w:firstLine="720"/>
        <w:jc w:val="both"/>
      </w:pPr>
      <w:r w:rsidRPr="00C66EB5">
        <w:rPr>
          <w:iCs/>
        </w:rPr>
        <w:t>Cataracta reprezintă</w:t>
      </w:r>
      <w:r w:rsidRPr="00C66EB5">
        <w:t xml:space="preserve"> o opacifierea cristalin</w:t>
      </w:r>
      <w:r>
        <w:t>ului</w:t>
      </w:r>
      <w:r w:rsidRPr="00C66EB5">
        <w:t xml:space="preserve">, care </w:t>
      </w:r>
      <w:r>
        <w:t xml:space="preserve">în mod </w:t>
      </w:r>
      <w:r w:rsidRPr="00C66EB5">
        <w:t xml:space="preserve">normal este transparent şi clar. Aceasta este cauzată de obicei de înaintarea în vârstă, dar poate avea şi alte cauze: </w:t>
      </w:r>
    </w:p>
    <w:p w:rsidR="008E3654" w:rsidRPr="00C66EB5" w:rsidRDefault="008E3654" w:rsidP="008E3654">
      <w:pPr>
        <w:pStyle w:val="BodyTextIndent2"/>
        <w:numPr>
          <w:ilvl w:val="0"/>
          <w:numId w:val="1"/>
        </w:numPr>
        <w:tabs>
          <w:tab w:val="clear" w:pos="1590"/>
          <w:tab w:val="num" w:pos="850"/>
        </w:tabs>
        <w:jc w:val="both"/>
      </w:pPr>
      <w:r w:rsidRPr="00C66EB5">
        <w:t xml:space="preserve">poate apare de la naştere (cataracta congenitală) </w:t>
      </w:r>
    </w:p>
    <w:p w:rsidR="008E3654" w:rsidRPr="00C66EB5" w:rsidRDefault="008E3654" w:rsidP="008E3654">
      <w:pPr>
        <w:pStyle w:val="BodyTextIndent2"/>
        <w:numPr>
          <w:ilvl w:val="0"/>
          <w:numId w:val="1"/>
        </w:numPr>
        <w:tabs>
          <w:tab w:val="clear" w:pos="1590"/>
          <w:tab w:val="num" w:pos="850"/>
        </w:tabs>
        <w:jc w:val="both"/>
      </w:pPr>
      <w:r w:rsidRPr="00C66EB5">
        <w:t xml:space="preserve">poate apare în contextul : </w:t>
      </w:r>
    </w:p>
    <w:p w:rsidR="008E3654" w:rsidRPr="00C66EB5" w:rsidRDefault="008E3654" w:rsidP="008E3654">
      <w:pPr>
        <w:pStyle w:val="BodyTextIndent2"/>
        <w:numPr>
          <w:ilvl w:val="1"/>
          <w:numId w:val="1"/>
        </w:numPr>
        <w:tabs>
          <w:tab w:val="clear" w:pos="1800"/>
          <w:tab w:val="num" w:pos="1190"/>
        </w:tabs>
        <w:ind w:hanging="950"/>
        <w:jc w:val="both"/>
      </w:pPr>
      <w:r w:rsidRPr="00C66EB5">
        <w:t>unui traumatism neperforant (contuzie) sau penetrant (plagă);</w:t>
      </w:r>
    </w:p>
    <w:p w:rsidR="008E3654" w:rsidRPr="00C66EB5" w:rsidRDefault="008E3654" w:rsidP="008E3654">
      <w:pPr>
        <w:pStyle w:val="BodyTextIndent2"/>
        <w:numPr>
          <w:ilvl w:val="1"/>
          <w:numId w:val="1"/>
        </w:numPr>
        <w:tabs>
          <w:tab w:val="clear" w:pos="1800"/>
          <w:tab w:val="num" w:pos="1190"/>
        </w:tabs>
        <w:ind w:hanging="950"/>
        <w:jc w:val="both"/>
      </w:pPr>
      <w:r w:rsidRPr="00C66EB5">
        <w:t xml:space="preserve">administrării de medicamente cum ar fi corticosteroizii timp îndelungat, </w:t>
      </w:r>
    </w:p>
    <w:p w:rsidR="008E3654" w:rsidRPr="00C66EB5" w:rsidRDefault="008E3654" w:rsidP="008E3654">
      <w:pPr>
        <w:pStyle w:val="BodyTextIndent2"/>
        <w:numPr>
          <w:ilvl w:val="1"/>
          <w:numId w:val="1"/>
        </w:numPr>
        <w:tabs>
          <w:tab w:val="clear" w:pos="1800"/>
          <w:tab w:val="num" w:pos="1190"/>
        </w:tabs>
        <w:ind w:hanging="950"/>
        <w:jc w:val="both"/>
      </w:pPr>
      <w:r w:rsidRPr="00C66EB5">
        <w:t xml:space="preserve">în unele boli sistemice cum este diabetul zaharat, sau </w:t>
      </w:r>
      <w:proofErr w:type="spellStart"/>
      <w:r w:rsidRPr="00C66EB5">
        <w:t>hipoparatiroidia</w:t>
      </w:r>
      <w:proofErr w:type="spellEnd"/>
      <w:r w:rsidRPr="00C66EB5">
        <w:t xml:space="preserve">, </w:t>
      </w:r>
    </w:p>
    <w:p w:rsidR="008E3654" w:rsidRPr="00C66EB5" w:rsidRDefault="008E3654" w:rsidP="008E3654">
      <w:pPr>
        <w:pStyle w:val="BodyTextIndent2"/>
        <w:numPr>
          <w:ilvl w:val="1"/>
          <w:numId w:val="1"/>
        </w:numPr>
        <w:tabs>
          <w:tab w:val="clear" w:pos="1800"/>
          <w:tab w:val="num" w:pos="1190"/>
        </w:tabs>
        <w:ind w:hanging="950"/>
        <w:jc w:val="both"/>
      </w:pPr>
      <w:r w:rsidRPr="00C66EB5">
        <w:t xml:space="preserve">expunerea la radiaţii, </w:t>
      </w:r>
    </w:p>
    <w:p w:rsidR="008E3654" w:rsidRDefault="008E3654" w:rsidP="008E3654">
      <w:r w:rsidRPr="00C66EB5">
        <w:t xml:space="preserve">în unele afecţiuni oculare cum sunt </w:t>
      </w:r>
      <w:proofErr w:type="spellStart"/>
      <w:r w:rsidRPr="00C66EB5">
        <w:t>uveitele</w:t>
      </w:r>
      <w:proofErr w:type="spellEnd"/>
      <w:r w:rsidRPr="00C66EB5">
        <w:t xml:space="preserve"> anterioare.</w:t>
      </w:r>
    </w:p>
    <w:p w:rsidR="008E3654" w:rsidRDefault="008E3654" w:rsidP="008E3654">
      <w:pPr>
        <w:ind w:firstLine="708"/>
        <w:jc w:val="both"/>
      </w:pPr>
      <w:r w:rsidRPr="003017B4">
        <w:rPr>
          <w:b/>
          <w:bCs/>
        </w:rPr>
        <w:t>Cataracta senilă</w:t>
      </w:r>
      <w:r>
        <w:rPr>
          <w:b/>
          <w:bCs/>
        </w:rPr>
        <w:t xml:space="preserve">. </w:t>
      </w:r>
      <w:r w:rsidRPr="003017B4">
        <w:t>Reprezintă forma clinică cea mai frecventă dintre tulburările de transparenţă ale cristalinului. Apare de obicei după vârsta de 60-65 de ani, are o evoluţie progresivă spre opacifierea completă a cristalinului cu scăderea treptată a acuităţii vizuale. Este bilaterală, dar are un decalaj de evoluţie în timp între cei doi ochi.</w:t>
      </w:r>
    </w:p>
    <w:p w:rsidR="008E3654" w:rsidRDefault="008E3654" w:rsidP="008E3654">
      <w:pPr>
        <w:jc w:val="both"/>
      </w:pPr>
      <w:r w:rsidRPr="00DA0C5C">
        <w:rPr>
          <w:b/>
          <w:bCs/>
        </w:rPr>
        <w:t>Cataractele patologice.</w:t>
      </w:r>
      <w:r>
        <w:rPr>
          <w:b/>
          <w:bCs/>
        </w:rPr>
        <w:t xml:space="preserve"> </w:t>
      </w:r>
      <w:r w:rsidRPr="00DA0C5C">
        <w:tab/>
        <w:t xml:space="preserve">Sunt opacifieri ale cristalinului secundare unor tulburări de ordin general sau unor intoxicaţii care produc alterarea metabolismului </w:t>
      </w:r>
      <w:proofErr w:type="spellStart"/>
      <w:r w:rsidRPr="00DA0C5C">
        <w:t>cristalinian</w:t>
      </w:r>
      <w:proofErr w:type="spellEnd"/>
      <w:r w:rsidRPr="00DA0C5C">
        <w:t>.</w:t>
      </w:r>
    </w:p>
    <w:p w:rsidR="008E3654" w:rsidRPr="00DA0C5C" w:rsidRDefault="008E3654" w:rsidP="008E3654">
      <w:pPr>
        <w:jc w:val="both"/>
      </w:pPr>
      <w:r w:rsidRPr="00DA0C5C">
        <w:rPr>
          <w:b/>
          <w:bCs/>
        </w:rPr>
        <w:t>Cataracta complicată</w:t>
      </w:r>
      <w:r>
        <w:rPr>
          <w:b/>
          <w:bCs/>
        </w:rPr>
        <w:t xml:space="preserve">. </w:t>
      </w:r>
      <w:r w:rsidRPr="00DA0C5C">
        <w:t>Survine pe ochi cu anumite leziuni şi ridică probleme terapeutice specifice.</w:t>
      </w:r>
    </w:p>
    <w:p w:rsidR="008E3654" w:rsidRPr="00DA0C5C" w:rsidRDefault="008E3654" w:rsidP="008E3654">
      <w:pPr>
        <w:jc w:val="both"/>
      </w:pPr>
      <w:r w:rsidRPr="00DA0C5C">
        <w:rPr>
          <w:b/>
          <w:bCs/>
        </w:rPr>
        <w:t>Cataracta traumatică</w:t>
      </w:r>
      <w:r w:rsidRPr="00DA0C5C">
        <w:t xml:space="preserve"> </w:t>
      </w:r>
      <w:r>
        <w:t xml:space="preserve">. </w:t>
      </w:r>
      <w:r w:rsidRPr="00DA0C5C">
        <w:t xml:space="preserve">Este secundară unui traumatism al globului ocular şi poate îmbrăca mai multe forme clinico-etiologice:  </w:t>
      </w:r>
      <w:proofErr w:type="spellStart"/>
      <w:r w:rsidRPr="00DA0C5C">
        <w:t>contuzivă</w:t>
      </w:r>
      <w:proofErr w:type="spellEnd"/>
      <w:r w:rsidRPr="00DA0C5C">
        <w:t xml:space="preserve"> (în contuzii forte) sau după plăgi perforante </w:t>
      </w:r>
      <w:proofErr w:type="spellStart"/>
      <w:r w:rsidRPr="00DA0C5C">
        <w:t>corneosclerale</w:t>
      </w:r>
      <w:proofErr w:type="spellEnd"/>
      <w:r w:rsidRPr="00DA0C5C">
        <w:t xml:space="preserve"> cu interesarea cristalinului cu sau fără corp străin intraocular (cataracta </w:t>
      </w:r>
      <w:proofErr w:type="spellStart"/>
      <w:r w:rsidRPr="00DA0C5C">
        <w:t>siderotică</w:t>
      </w:r>
      <w:proofErr w:type="spellEnd"/>
      <w:r w:rsidRPr="00DA0C5C">
        <w:t xml:space="preserve">, după corpi străini din fier, sau </w:t>
      </w:r>
      <w:proofErr w:type="spellStart"/>
      <w:r w:rsidRPr="00DA0C5C">
        <w:t>calcozică</w:t>
      </w:r>
      <w:proofErr w:type="spellEnd"/>
      <w:r w:rsidRPr="00DA0C5C">
        <w:t>, după corpi străini din cupru).</w:t>
      </w:r>
    </w:p>
    <w:p w:rsidR="008E3654" w:rsidRDefault="008E3654" w:rsidP="008E3654">
      <w:pPr>
        <w:ind w:firstLine="708"/>
        <w:jc w:val="both"/>
      </w:pPr>
    </w:p>
    <w:p w:rsidR="008E3654" w:rsidRDefault="008E3654" w:rsidP="008E3654">
      <w:pPr>
        <w:pStyle w:val="Heading2"/>
        <w:ind w:firstLine="720"/>
        <w:rPr>
          <w:sz w:val="28"/>
          <w:szCs w:val="28"/>
        </w:rPr>
      </w:pPr>
      <w:r w:rsidRPr="00ED65C7">
        <w:rPr>
          <w:sz w:val="28"/>
          <w:szCs w:val="28"/>
        </w:rPr>
        <w:t>4.2. GLAUCOMUL</w:t>
      </w:r>
    </w:p>
    <w:p w:rsidR="008E3654" w:rsidRPr="00ED65C7" w:rsidRDefault="008E3654" w:rsidP="008E3654">
      <w:pPr>
        <w:ind w:firstLine="720"/>
        <w:rPr>
          <w:sz w:val="8"/>
          <w:szCs w:val="8"/>
        </w:rPr>
      </w:pPr>
    </w:p>
    <w:p w:rsidR="008E3654" w:rsidRPr="00E738F8" w:rsidRDefault="008E3654" w:rsidP="008E3654">
      <w:pPr>
        <w:ind w:firstLine="720"/>
        <w:jc w:val="both"/>
      </w:pPr>
      <w:proofErr w:type="spellStart"/>
      <w:r w:rsidRPr="00ED65C7">
        <w:t>Glaucoamele</w:t>
      </w:r>
      <w:proofErr w:type="spellEnd"/>
      <w:r w:rsidRPr="00ED65C7">
        <w:t xml:space="preserve"> grupează o serie de afecţiuni diferite din punct de vedere etiologic şi patogenic, caracterizate prin modificări caracteristice ale papilei nervului optic şi ale câmpului vizual. In marea </w:t>
      </w:r>
      <w:r w:rsidRPr="00ED65C7">
        <w:lastRenderedPageBreak/>
        <w:t>majoritate a cazurilor aceste modificări sunt produse prin creşterea tensiunii intraoculare,  ca u</w:t>
      </w:r>
      <w:r w:rsidRPr="00E738F8">
        <w:t>rmare a modificărilor în circulaţia intraoculară a umorii apoase.</w:t>
      </w:r>
      <w:r>
        <w:t xml:space="preserve"> </w:t>
      </w:r>
      <w:r w:rsidRPr="00E738F8">
        <w:t>Creşterea tensiunii intraoculare este determinată de modificarea raportului între secreţia şi eliminarea umorii apoase</w:t>
      </w:r>
      <w:r>
        <w:t>; c</w:t>
      </w:r>
      <w:r w:rsidRPr="00E738F8">
        <w:t>reştere</w:t>
      </w:r>
      <w:r>
        <w:t>a</w:t>
      </w:r>
      <w:r w:rsidRPr="00E738F8">
        <w:t xml:space="preserve"> peste 2</w:t>
      </w:r>
      <w:r>
        <w:t>1</w:t>
      </w:r>
      <w:r w:rsidRPr="00E738F8">
        <w:t xml:space="preserve"> mmHg a tensiunii oculare e considerată patologică</w:t>
      </w:r>
      <w:r>
        <w:t>.</w:t>
      </w:r>
      <w:r w:rsidRPr="00E738F8">
        <w:t xml:space="preserve"> </w:t>
      </w:r>
    </w:p>
    <w:p w:rsidR="008E3654" w:rsidRPr="00ED65C7" w:rsidRDefault="008E3654" w:rsidP="008E3654">
      <w:pPr>
        <w:ind w:firstLine="708"/>
        <w:jc w:val="both"/>
      </w:pPr>
      <w:proofErr w:type="spellStart"/>
      <w:r w:rsidRPr="00ED65C7">
        <w:t>Glaucoamele</w:t>
      </w:r>
      <w:proofErr w:type="spellEnd"/>
      <w:r w:rsidRPr="00ED65C7">
        <w:t xml:space="preserve"> se clasifică în :</w:t>
      </w:r>
    </w:p>
    <w:p w:rsidR="008E3654" w:rsidRPr="00ED65C7" w:rsidRDefault="008E3654" w:rsidP="008E3654">
      <w:pPr>
        <w:numPr>
          <w:ilvl w:val="0"/>
          <w:numId w:val="3"/>
        </w:numPr>
        <w:spacing w:after="0" w:line="240" w:lineRule="auto"/>
        <w:jc w:val="both"/>
      </w:pPr>
      <w:r w:rsidRPr="00ED65C7">
        <w:t>primitive</w:t>
      </w:r>
    </w:p>
    <w:p w:rsidR="008E3654" w:rsidRPr="00ED65C7" w:rsidRDefault="008E3654" w:rsidP="008E3654">
      <w:pPr>
        <w:numPr>
          <w:ilvl w:val="2"/>
          <w:numId w:val="2"/>
        </w:numPr>
        <w:tabs>
          <w:tab w:val="clear" w:pos="3216"/>
          <w:tab w:val="num" w:pos="2160"/>
        </w:tabs>
        <w:spacing w:after="0" w:line="240" w:lineRule="auto"/>
        <w:ind w:left="2160"/>
        <w:jc w:val="both"/>
      </w:pPr>
      <w:r w:rsidRPr="00ED65C7">
        <w:t>glaucomul cu unghi deschis;</w:t>
      </w:r>
    </w:p>
    <w:p w:rsidR="008E3654" w:rsidRPr="00ED65C7" w:rsidRDefault="008E3654" w:rsidP="008E3654">
      <w:pPr>
        <w:numPr>
          <w:ilvl w:val="2"/>
          <w:numId w:val="2"/>
        </w:numPr>
        <w:tabs>
          <w:tab w:val="clear" w:pos="3216"/>
          <w:tab w:val="num" w:pos="2160"/>
        </w:tabs>
        <w:spacing w:after="0" w:line="240" w:lineRule="auto"/>
        <w:ind w:left="2160"/>
        <w:jc w:val="both"/>
      </w:pPr>
      <w:r w:rsidRPr="00ED65C7">
        <w:t xml:space="preserve">glaucomul cu </w:t>
      </w:r>
      <w:proofErr w:type="spellStart"/>
      <w:r w:rsidRPr="00ED65C7">
        <w:t>unghis</w:t>
      </w:r>
      <w:proofErr w:type="spellEnd"/>
      <w:r w:rsidRPr="00ED65C7">
        <w:t xml:space="preserve"> închis ;</w:t>
      </w:r>
    </w:p>
    <w:p w:rsidR="008E3654" w:rsidRPr="00ED65C7" w:rsidRDefault="008E3654" w:rsidP="008E3654">
      <w:pPr>
        <w:numPr>
          <w:ilvl w:val="2"/>
          <w:numId w:val="2"/>
        </w:numPr>
        <w:tabs>
          <w:tab w:val="clear" w:pos="3216"/>
          <w:tab w:val="num" w:pos="2160"/>
        </w:tabs>
        <w:spacing w:after="0" w:line="240" w:lineRule="auto"/>
        <w:ind w:left="2160"/>
        <w:jc w:val="both"/>
      </w:pPr>
      <w:r w:rsidRPr="00ED65C7">
        <w:t>glaucomul congenital;</w:t>
      </w:r>
    </w:p>
    <w:p w:rsidR="008E3654" w:rsidRPr="00ED65C7" w:rsidRDefault="008E3654" w:rsidP="008E3654">
      <w:pPr>
        <w:numPr>
          <w:ilvl w:val="3"/>
          <w:numId w:val="2"/>
        </w:numPr>
        <w:tabs>
          <w:tab w:val="clear" w:pos="3936"/>
          <w:tab w:val="num" w:pos="1800"/>
        </w:tabs>
        <w:spacing w:after="0" w:line="240" w:lineRule="auto"/>
        <w:ind w:hanging="2496"/>
        <w:jc w:val="both"/>
      </w:pPr>
      <w:r w:rsidRPr="00ED65C7">
        <w:t>secundare altor afecţiuni  oculare.</w:t>
      </w:r>
    </w:p>
    <w:p w:rsidR="008E3654" w:rsidRDefault="008E3654" w:rsidP="008E3654">
      <w:pPr>
        <w:jc w:val="both"/>
      </w:pPr>
      <w:r w:rsidRPr="008E3654">
        <w:rPr>
          <w:b/>
          <w:bCs/>
          <w:sz w:val="28"/>
          <w:szCs w:val="28"/>
        </w:rPr>
        <w:t>4.2.1. Glaucomul  primitiv cu unghi deschis</w:t>
      </w:r>
      <w:r>
        <w:rPr>
          <w:b/>
          <w:bCs/>
          <w:sz w:val="28"/>
          <w:szCs w:val="28"/>
        </w:rPr>
        <w:t xml:space="preserve">. </w:t>
      </w:r>
      <w:r w:rsidRPr="001A12EE">
        <w:t xml:space="preserve">Glaucomul primitiv cu unghi deschis este o afecţiune caracterizată prin alterări caracteristice ale papilei nervului optic şi ale câmpului vizual ce apar bilateral, la ochi care prezintă </w:t>
      </w:r>
      <w:proofErr w:type="spellStart"/>
      <w:r w:rsidRPr="001A12EE">
        <w:t>gonioscopic</w:t>
      </w:r>
      <w:proofErr w:type="spellEnd"/>
      <w:r w:rsidRPr="001A12EE">
        <w:t xml:space="preserve"> unghi </w:t>
      </w:r>
      <w:proofErr w:type="spellStart"/>
      <w:r w:rsidRPr="001A12EE">
        <w:t>camerular</w:t>
      </w:r>
      <w:proofErr w:type="spellEnd"/>
      <w:r w:rsidRPr="001A12EE">
        <w:t xml:space="preserve"> deschis</w:t>
      </w:r>
    </w:p>
    <w:p w:rsidR="008E3654" w:rsidRDefault="008E3654" w:rsidP="008E3654">
      <w:pPr>
        <w:jc w:val="both"/>
      </w:pPr>
      <w:r w:rsidRPr="00CD6D88">
        <w:rPr>
          <w:b/>
          <w:bCs/>
          <w:sz w:val="28"/>
          <w:szCs w:val="28"/>
        </w:rPr>
        <w:t xml:space="preserve">4.2.2. Glaucomul primitiv cu unghi </w:t>
      </w:r>
      <w:proofErr w:type="spellStart"/>
      <w:r w:rsidRPr="00CD6D88">
        <w:rPr>
          <w:b/>
          <w:bCs/>
          <w:sz w:val="28"/>
          <w:szCs w:val="28"/>
        </w:rPr>
        <w:t>inchis</w:t>
      </w:r>
      <w:proofErr w:type="spellEnd"/>
      <w:r>
        <w:rPr>
          <w:b/>
          <w:bCs/>
          <w:sz w:val="28"/>
          <w:szCs w:val="28"/>
        </w:rPr>
        <w:t xml:space="preserve">. </w:t>
      </w:r>
      <w:r w:rsidRPr="005101C3">
        <w:t xml:space="preserve">Este hipertensiunea oculară primitivă determinată  de închiderea unghiului </w:t>
      </w:r>
      <w:proofErr w:type="spellStart"/>
      <w:r w:rsidRPr="005101C3">
        <w:t>camerular</w:t>
      </w:r>
      <w:proofErr w:type="spellEnd"/>
      <w:r w:rsidRPr="005101C3">
        <w:t xml:space="preserve">, datorită aplicării rădăcinii irisului pe </w:t>
      </w:r>
      <w:proofErr w:type="spellStart"/>
      <w:r w:rsidRPr="005101C3">
        <w:t>trabecul</w:t>
      </w:r>
      <w:proofErr w:type="spellEnd"/>
      <w:r w:rsidRPr="005101C3">
        <w:t>, la ochi predispuşi, făcând imposibilă scurgerea umorii apoase pe căile fiziologice de eliminare.</w:t>
      </w:r>
    </w:p>
    <w:p w:rsidR="008E3654" w:rsidRPr="00886F7B" w:rsidRDefault="008E3654" w:rsidP="008E3654">
      <w:pPr>
        <w:ind w:left="720" w:firstLine="720"/>
        <w:jc w:val="both"/>
        <w:rPr>
          <w:u w:val="single"/>
        </w:rPr>
      </w:pPr>
      <w:r w:rsidRPr="00886F7B">
        <w:rPr>
          <w:u w:val="single"/>
        </w:rPr>
        <w:t>Forma acută.  Atacul acut de glaucom</w:t>
      </w:r>
    </w:p>
    <w:p w:rsidR="008E3654" w:rsidRDefault="008E3654" w:rsidP="008E3654">
      <w:pPr>
        <w:ind w:left="1440"/>
        <w:jc w:val="both"/>
      </w:pPr>
      <w:r w:rsidRPr="005101C3">
        <w:t>Atacul acut de glaucom este forma cea mai frecventă de manifestare a glaucomului cu unghi închis. Este declanşată de factorii care declanşează glaucomul cu unghi închis: midriaza medicamentoasă sau produsă în obscuritate, emoţii</w:t>
      </w:r>
      <w:r>
        <w:t xml:space="preserve">, </w:t>
      </w:r>
      <w:r w:rsidRPr="005101C3">
        <w:t xml:space="preserve">medicamente cu acţiune </w:t>
      </w:r>
      <w:proofErr w:type="spellStart"/>
      <w:r w:rsidRPr="005101C3">
        <w:t>parasimpaticolitică</w:t>
      </w:r>
      <w:proofErr w:type="spellEnd"/>
      <w:r w:rsidRPr="005101C3">
        <w:t xml:space="preserve">. </w:t>
      </w:r>
    </w:p>
    <w:p w:rsidR="00007F09" w:rsidRPr="003468E6" w:rsidRDefault="00007F09" w:rsidP="00007F09">
      <w:pPr>
        <w:ind w:firstLine="720"/>
        <w:jc w:val="both"/>
        <w:rPr>
          <w:b/>
          <w:bCs/>
        </w:rPr>
      </w:pPr>
      <w:r>
        <w:rPr>
          <w:b/>
          <w:bCs/>
        </w:rPr>
        <w:t>4.2.3. G</w:t>
      </w:r>
      <w:r w:rsidRPr="003468E6">
        <w:rPr>
          <w:b/>
          <w:bCs/>
        </w:rPr>
        <w:t>laucomul congenital</w:t>
      </w:r>
    </w:p>
    <w:p w:rsidR="00007F09" w:rsidRPr="00007F09" w:rsidRDefault="00007F09" w:rsidP="00007F09">
      <w:pPr>
        <w:ind w:firstLine="708"/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7F09" w:rsidRDefault="00007F09" w:rsidP="00007F09">
      <w:pPr>
        <w:jc w:val="both"/>
      </w:pPr>
      <w:r w:rsidRPr="003468E6">
        <w:tab/>
        <w:t>Glaucomul congenital este o formă rară de hipertonie oculară, secundară unor anomalii de dezvoltare embrionare a segmentului anterior. Diagnosticul trebuie să fie precoce, pentru posibilitatea aplicării cât mai rapide a tratamentului chirurgical.</w:t>
      </w:r>
      <w:r>
        <w:t xml:space="preserve"> </w:t>
      </w:r>
    </w:p>
    <w:p w:rsidR="00007F09" w:rsidRDefault="00007F09" w:rsidP="00007F09">
      <w:pPr>
        <w:jc w:val="both"/>
      </w:pPr>
      <w:r>
        <w:t xml:space="preserve">- Dacă hipertonia este importantă, ca urmare a unei obstrucţii totale a unghiului </w:t>
      </w:r>
      <w:proofErr w:type="spellStart"/>
      <w:r>
        <w:t>irido-corneean</w:t>
      </w:r>
      <w:proofErr w:type="spellEnd"/>
      <w:r>
        <w:t xml:space="preserve">, glaucomul apare precoce, şi datorită elasticităţii peretelui ocular la copilul nou-născut, determină </w:t>
      </w:r>
      <w:proofErr w:type="spellStart"/>
      <w:r>
        <w:t>distensia</w:t>
      </w:r>
      <w:proofErr w:type="spellEnd"/>
      <w:r>
        <w:t xml:space="preserve"> pereţilor cu mărirea diametrelor oculare (ochi d dimensiuni foarte mari).</w:t>
      </w:r>
    </w:p>
    <w:p w:rsidR="00007F09" w:rsidRDefault="00007F09" w:rsidP="00007F09">
      <w:pPr>
        <w:jc w:val="both"/>
      </w:pPr>
      <w:r>
        <w:t xml:space="preserve">- </w:t>
      </w:r>
      <w:r w:rsidRPr="003468E6">
        <w:t xml:space="preserve">Dacă hipertonia este mai mică, ca urmare a unei obstrucţii incomplete, apare forma de glaucom congenital </w:t>
      </w:r>
      <w:r>
        <w:t xml:space="preserve">infantil </w:t>
      </w:r>
      <w:r w:rsidRPr="003468E6">
        <w:t xml:space="preserve">sau juvenil, care se manifestă </w:t>
      </w:r>
      <w:r>
        <w:t xml:space="preserve">după vârsta de 2 ani până a </w:t>
      </w:r>
      <w:r w:rsidRPr="003468E6">
        <w:t>în cea de-a d</w:t>
      </w:r>
      <w:r>
        <w:t>oua sau a treia decadă a vieţii; în această situaţie globii oculari au dimensiuni normale.</w:t>
      </w:r>
    </w:p>
    <w:p w:rsidR="00007F09" w:rsidRDefault="00007F09" w:rsidP="00007F09">
      <w:pPr>
        <w:jc w:val="both"/>
      </w:pPr>
      <w:r w:rsidRPr="003468E6">
        <w:t>Glaucomul congenital poate apare ca o afecţiune izolată, sau poate apare asociat cu alte manifestări congenitale.</w:t>
      </w:r>
    </w:p>
    <w:p w:rsidR="00007F09" w:rsidRPr="00B56F5D" w:rsidRDefault="00007F09" w:rsidP="00007F09">
      <w:pPr>
        <w:jc w:val="both"/>
        <w:rPr>
          <w:b/>
          <w:bCs/>
          <w:sz w:val="8"/>
          <w:szCs w:val="8"/>
        </w:rPr>
      </w:pPr>
    </w:p>
    <w:p w:rsidR="00007F09" w:rsidRPr="00B56F5D" w:rsidRDefault="00007F09" w:rsidP="00007F09">
      <w:pPr>
        <w:jc w:val="both"/>
        <w:rPr>
          <w:b/>
          <w:bCs/>
        </w:rPr>
      </w:pPr>
      <w:r w:rsidRPr="00B56F5D">
        <w:rPr>
          <w:b/>
          <w:bCs/>
        </w:rPr>
        <w:t xml:space="preserve">Clasificare. </w:t>
      </w:r>
    </w:p>
    <w:p w:rsidR="00007F09" w:rsidRDefault="00007F09" w:rsidP="00007F09">
      <w:pPr>
        <w:jc w:val="both"/>
      </w:pPr>
      <w:r>
        <w:t>Glaucomul primitiv congenital precoce (apare de la naştere până la vârsta de 2 ani)</w:t>
      </w:r>
    </w:p>
    <w:p w:rsidR="00007F09" w:rsidRDefault="00007F09" w:rsidP="00007F09">
      <w:pPr>
        <w:jc w:val="both"/>
      </w:pPr>
      <w:r>
        <w:t>Glaucomul primitiv congenital infantil (de la vârsta de 2 ani până la vârsta de 10 ani)</w:t>
      </w:r>
    </w:p>
    <w:p w:rsidR="00007F09" w:rsidRDefault="00007F09" w:rsidP="00007F09">
      <w:pPr>
        <w:jc w:val="both"/>
      </w:pPr>
      <w:r>
        <w:t>Glaucomul primitiv congenital juvenil (de la vârsta d 10 ani până la vârsta de 35 de ani)</w:t>
      </w:r>
    </w:p>
    <w:p w:rsidR="00007F09" w:rsidRPr="00FB61ED" w:rsidRDefault="00007F09" w:rsidP="00007F09">
      <w:pPr>
        <w:jc w:val="center"/>
        <w:rPr>
          <w:b/>
        </w:rPr>
      </w:pPr>
    </w:p>
    <w:p w:rsidR="00007F09" w:rsidRDefault="00007F09" w:rsidP="00007F09">
      <w:r>
        <w:rPr>
          <w:noProof/>
          <w:lang w:val="en-US"/>
        </w:rPr>
        <w:drawing>
          <wp:inline distT="0" distB="0" distL="0" distR="0" wp14:anchorId="5FB6957D" wp14:editId="7A91C7A1">
            <wp:extent cx="3849055" cy="2552700"/>
            <wp:effectExtent l="0" t="0" r="0" b="0"/>
            <wp:docPr id="3" name="Picture 3" descr="R006-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006-0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0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09" w:rsidRDefault="00007F09" w:rsidP="00007F09">
      <w:r>
        <w:t xml:space="preserve">Glaucom – stadiu 2 – </w:t>
      </w:r>
      <w:proofErr w:type="spellStart"/>
      <w:r>
        <w:t>excavatie</w:t>
      </w:r>
      <w:proofErr w:type="spellEnd"/>
      <w:r>
        <w:t xml:space="preserve"> </w:t>
      </w:r>
      <w:proofErr w:type="spellStart"/>
      <w:r>
        <w:t>ovalară</w:t>
      </w:r>
      <w:proofErr w:type="spellEnd"/>
      <w:r>
        <w:t xml:space="preserve"> raport cupa/disc = 0.5</w:t>
      </w:r>
    </w:p>
    <w:p w:rsidR="00007F09" w:rsidRDefault="00007F09" w:rsidP="00007F09">
      <w:pPr>
        <w:jc w:val="both"/>
      </w:pPr>
      <w:r>
        <w:rPr>
          <w:noProof/>
          <w:lang w:val="en-US"/>
        </w:rPr>
        <w:drawing>
          <wp:inline distT="0" distB="0" distL="0" distR="0" wp14:anchorId="45A468EB" wp14:editId="4F59DBC2">
            <wp:extent cx="3935707" cy="2628900"/>
            <wp:effectExtent l="0" t="0" r="8255" b="0"/>
            <wp:docPr id="2" name="Picture 2" descr="R006-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006-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14" cy="26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09" w:rsidRDefault="00007F09" w:rsidP="00007F09">
      <w:pPr>
        <w:jc w:val="both"/>
      </w:pPr>
      <w:r>
        <w:t xml:space="preserve">Glaucom – stadiu 3 – cu </w:t>
      </w:r>
      <w:proofErr w:type="spellStart"/>
      <w:r>
        <w:t>excavatie</w:t>
      </w:r>
      <w:proofErr w:type="spellEnd"/>
      <w:r>
        <w:t xml:space="preserve"> totala şi atrofie optică</w:t>
      </w:r>
    </w:p>
    <w:p w:rsidR="00007F09" w:rsidRDefault="00007F09" w:rsidP="00007F09">
      <w:pPr>
        <w:jc w:val="both"/>
      </w:pPr>
    </w:p>
    <w:p w:rsidR="00007F09" w:rsidRDefault="00007F09" w:rsidP="00007F09">
      <w:pPr>
        <w:jc w:val="both"/>
      </w:pPr>
    </w:p>
    <w:p w:rsidR="008E3654" w:rsidRDefault="00007F09" w:rsidP="00007F09">
      <w:r>
        <w:rPr>
          <w:noProof/>
          <w:lang w:val="en-US"/>
        </w:rPr>
        <w:drawing>
          <wp:inline distT="0" distB="0" distL="0" distR="0">
            <wp:extent cx="4191000" cy="2799184"/>
            <wp:effectExtent l="0" t="0" r="0" b="1270"/>
            <wp:docPr id="1" name="Picture 1" descr="R003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003-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09" w:rsidRDefault="00007F09" w:rsidP="00007F09">
      <w:pPr>
        <w:rPr>
          <w:b/>
        </w:rPr>
      </w:pPr>
      <w:r w:rsidRPr="00FB61ED">
        <w:rPr>
          <w:b/>
        </w:rPr>
        <w:t>OS Cataractă senilă</w:t>
      </w:r>
    </w:p>
    <w:p w:rsidR="00007F09" w:rsidRDefault="00007F09" w:rsidP="00007F09">
      <w:pPr>
        <w:rPr>
          <w:b/>
        </w:rPr>
      </w:pPr>
      <w:r>
        <w:rPr>
          <w:noProof/>
          <w:lang w:val="en-US"/>
        </w:rPr>
        <w:drawing>
          <wp:inline distT="0" distB="0" distL="0" distR="0">
            <wp:extent cx="2987040" cy="2974975"/>
            <wp:effectExtent l="0" t="0" r="3810" b="0"/>
            <wp:docPr id="4" name="Picture 4" descr="01 r002-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 r002-0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09" w:rsidRDefault="00007F09" w:rsidP="00007F09">
      <w:bookmarkStart w:id="0" w:name="_GoBack"/>
      <w:bookmarkEnd w:id="0"/>
      <w:r>
        <w:rPr>
          <w:b/>
        </w:rPr>
        <w:t xml:space="preserve">OS – </w:t>
      </w:r>
      <w:proofErr w:type="spellStart"/>
      <w:r>
        <w:rPr>
          <w:b/>
        </w:rPr>
        <w:t>pseudofachie</w:t>
      </w:r>
      <w:proofErr w:type="spellEnd"/>
      <w:r>
        <w:rPr>
          <w:b/>
        </w:rPr>
        <w:t xml:space="preserve"> – se vede reflexul pupilar al implantului de cristalin</w:t>
      </w:r>
    </w:p>
    <w:p w:rsidR="00007F09" w:rsidRDefault="00007F09" w:rsidP="008E3654">
      <w:pPr>
        <w:jc w:val="both"/>
      </w:pPr>
    </w:p>
    <w:sectPr w:rsidR="00007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6C1"/>
    <w:multiLevelType w:val="hybridMultilevel"/>
    <w:tmpl w:val="95125576"/>
    <w:lvl w:ilvl="0" w:tplc="0418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4E4A1FCF"/>
    <w:multiLevelType w:val="hybridMultilevel"/>
    <w:tmpl w:val="B6DA502E"/>
    <w:lvl w:ilvl="0" w:tplc="E36415BE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679F076F"/>
    <w:multiLevelType w:val="hybridMultilevel"/>
    <w:tmpl w:val="5E08B2C2"/>
    <w:lvl w:ilvl="0" w:tplc="C1B8239C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54"/>
    <w:rsid w:val="00007F09"/>
    <w:rsid w:val="002332DB"/>
    <w:rsid w:val="008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54"/>
    <w:rPr>
      <w:lang w:val="ro-RO"/>
    </w:rPr>
  </w:style>
  <w:style w:type="paragraph" w:styleId="Heading2">
    <w:name w:val="heading 2"/>
    <w:basedOn w:val="Normal"/>
    <w:next w:val="Normal"/>
    <w:link w:val="Heading2Char"/>
    <w:qFormat/>
    <w:rsid w:val="008E3654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5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E3654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8E365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E3654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09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54"/>
    <w:rPr>
      <w:lang w:val="ro-RO"/>
    </w:rPr>
  </w:style>
  <w:style w:type="paragraph" w:styleId="Heading2">
    <w:name w:val="heading 2"/>
    <w:basedOn w:val="Normal"/>
    <w:next w:val="Normal"/>
    <w:link w:val="Heading2Char"/>
    <w:qFormat/>
    <w:rsid w:val="008E3654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5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E3654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8E365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8E3654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0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2021-01-16T11:30:00Z</dcterms:created>
  <dcterms:modified xsi:type="dcterms:W3CDTF">2021-01-16T12:09:00Z</dcterms:modified>
</cp:coreProperties>
</file>