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DB" w:rsidRDefault="002332DB"/>
    <w:p w:rsidR="007D6222" w:rsidRDefault="007D6222" w:rsidP="007D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CURS 8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222" w:rsidRPr="007D6222" w:rsidRDefault="007D6222" w:rsidP="007D6222">
      <w:pPr>
        <w:rPr>
          <w:b/>
          <w:sz w:val="48"/>
          <w:szCs w:val="48"/>
        </w:rPr>
      </w:pPr>
      <w:r w:rsidRPr="007D6222">
        <w:rPr>
          <w:sz w:val="48"/>
          <w:szCs w:val="48"/>
        </w:rPr>
        <w:t>Traumatismele</w:t>
      </w:r>
      <w:r w:rsidRPr="007D6222">
        <w:rPr>
          <w:sz w:val="48"/>
          <w:szCs w:val="48"/>
        </w:rPr>
        <w:t xml:space="preserve"> globului ocular</w:t>
      </w:r>
      <w:r w:rsidRPr="007D6222">
        <w:rPr>
          <w:sz w:val="48"/>
          <w:szCs w:val="48"/>
        </w:rPr>
        <w:t xml:space="preserve"> </w:t>
      </w:r>
      <w:r w:rsidRPr="007D6222">
        <w:rPr>
          <w:sz w:val="48"/>
          <w:szCs w:val="48"/>
        </w:rPr>
        <w:t>şi anexelor</w:t>
      </w:r>
    </w:p>
    <w:p w:rsidR="007D6222" w:rsidRDefault="007D6222" w:rsidP="007D6222">
      <w:pPr>
        <w:pStyle w:val="ListParagraph"/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(Prezentare sintetică)</w:t>
      </w:r>
    </w:p>
    <w:p w:rsidR="007D6222" w:rsidRDefault="007D6222" w:rsidP="007D6222">
      <w:pPr>
        <w:pStyle w:val="ListParagraph"/>
      </w:pPr>
    </w:p>
    <w:p w:rsidR="007D6222" w:rsidRDefault="007D6222" w:rsidP="007D6222">
      <w:pPr>
        <w:pStyle w:val="ListParagraph"/>
      </w:pPr>
      <w:r>
        <w:t>Bibliografie : Carmen Mocanu – Diagnostic pozitiv şi diferenţial în oftalmologie – curs pentru</w:t>
      </w:r>
    </w:p>
    <w:p w:rsidR="007D6222" w:rsidRDefault="007D6222" w:rsidP="007D6222">
      <w:pPr>
        <w:pStyle w:val="ListParagraph"/>
      </w:pPr>
      <w:r>
        <w:t xml:space="preserve">                                                                                                   studenţi, </w:t>
      </w:r>
      <w:proofErr w:type="spellStart"/>
      <w:r>
        <w:t>Ed</w:t>
      </w:r>
      <w:proofErr w:type="spellEnd"/>
      <w:r>
        <w:t xml:space="preserve"> </w:t>
      </w:r>
      <w:proofErr w:type="spellStart"/>
      <w:r>
        <w:t>Sitech</w:t>
      </w:r>
      <w:proofErr w:type="spellEnd"/>
      <w:r>
        <w:t>,  Craiova, 2020</w:t>
      </w:r>
    </w:p>
    <w:p w:rsidR="007D6222" w:rsidRDefault="007D6222" w:rsidP="007D6222">
      <w:r>
        <w:t xml:space="preserve">                        Paul Cernea – Tratat de oftalmologie, </w:t>
      </w:r>
      <w:proofErr w:type="spellStart"/>
      <w:r>
        <w:t>Ed</w:t>
      </w:r>
      <w:proofErr w:type="spellEnd"/>
      <w:r>
        <w:t xml:space="preserve"> Medicală, Bucureşti, 2006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7D6222" w:rsidRPr="00960912" w:rsidTr="004E3BF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D6222" w:rsidRPr="00960912" w:rsidRDefault="007D6222" w:rsidP="004E3BF2">
            <w:pPr>
              <w:rPr>
                <w:sz w:val="8"/>
                <w:szCs w:val="8"/>
              </w:rPr>
            </w:pPr>
            <w:r w:rsidRPr="00960912">
              <w:rPr>
                <w:sz w:val="8"/>
                <w:szCs w:val="8"/>
              </w:rPr>
              <w:t xml:space="preserve">            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>
              <w:tab/>
            </w:r>
            <w:r w:rsidRPr="00960912">
              <w:rPr>
                <w:iCs/>
              </w:rPr>
              <w:t>8.1. Traumatisme de pol anterior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           8.1.1. Hemoragia </w:t>
            </w:r>
            <w:proofErr w:type="spellStart"/>
            <w:r w:rsidRPr="00960912">
              <w:rPr>
                <w:iCs/>
              </w:rPr>
              <w:t>subconjunctivală</w:t>
            </w:r>
            <w:proofErr w:type="spellEnd"/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           8.1.2. Corpii străini conjunctivali şi corneeni 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           8.1.4. Arsurile corneo-conjunctivale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ab/>
              <w:t xml:space="preserve">8.2. Traumatisme de pol posterior 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           8.2.1. Traumatisme ale retinei şi coroidei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           8.2.2. Traumatisme ale nervului optic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8.3. Complicaţii ale traumatismelor oculare. </w:t>
            </w:r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          8.3.1. </w:t>
            </w:r>
            <w:proofErr w:type="spellStart"/>
            <w:r w:rsidRPr="00960912">
              <w:rPr>
                <w:iCs/>
              </w:rPr>
              <w:t>Endoftalmia</w:t>
            </w:r>
            <w:proofErr w:type="spellEnd"/>
            <w:r w:rsidRPr="00960912">
              <w:rPr>
                <w:iCs/>
              </w:rPr>
              <w:t xml:space="preserve">. </w:t>
            </w:r>
            <w:proofErr w:type="spellStart"/>
            <w:r w:rsidRPr="00960912">
              <w:rPr>
                <w:iCs/>
              </w:rPr>
              <w:t>Panoftamia</w:t>
            </w:r>
            <w:proofErr w:type="spellEnd"/>
          </w:p>
          <w:p w:rsidR="007D6222" w:rsidRPr="00960912" w:rsidRDefault="007D6222" w:rsidP="004E3BF2">
            <w:pPr>
              <w:pStyle w:val="BodyTextIndent2"/>
              <w:jc w:val="both"/>
              <w:rPr>
                <w:iCs/>
              </w:rPr>
            </w:pPr>
            <w:r w:rsidRPr="00960912">
              <w:rPr>
                <w:iCs/>
              </w:rPr>
              <w:t xml:space="preserve">                8.3.2. Oftalmia simpatică</w:t>
            </w:r>
          </w:p>
          <w:p w:rsidR="007D6222" w:rsidRPr="00960912" w:rsidRDefault="007D6222" w:rsidP="004E3BF2">
            <w:pPr>
              <w:rPr>
                <w:b/>
                <w:bCs/>
                <w:sz w:val="8"/>
                <w:szCs w:val="8"/>
              </w:rPr>
            </w:pPr>
            <w:r w:rsidRPr="00960912">
              <w:rPr>
                <w:lang w:val="en-US"/>
              </w:rPr>
              <w:t xml:space="preserve"> </w:t>
            </w:r>
          </w:p>
        </w:tc>
      </w:tr>
    </w:tbl>
    <w:p w:rsidR="007D6222" w:rsidRPr="00B43832" w:rsidRDefault="007D6222" w:rsidP="007D6222">
      <w:pPr>
        <w:jc w:val="center"/>
        <w:rPr>
          <w:b/>
          <w:bCs/>
        </w:rPr>
      </w:pPr>
    </w:p>
    <w:p w:rsidR="007D6222" w:rsidRPr="00EC6FCD" w:rsidRDefault="007D6222" w:rsidP="007D6222">
      <w:pPr>
        <w:ind w:firstLine="708"/>
        <w:jc w:val="both"/>
        <w:rPr>
          <w:b/>
          <w:bCs/>
          <w:sz w:val="28"/>
          <w:szCs w:val="28"/>
        </w:rPr>
      </w:pPr>
      <w:r w:rsidRPr="00EC6FCD">
        <w:rPr>
          <w:b/>
          <w:bCs/>
          <w:sz w:val="28"/>
          <w:szCs w:val="28"/>
        </w:rPr>
        <w:t>8.1. TRAUMATISME DE POL ANTERIOR</w:t>
      </w:r>
    </w:p>
    <w:p w:rsidR="007D6222" w:rsidRPr="007D6222" w:rsidRDefault="007D6222" w:rsidP="007D6222">
      <w:pPr>
        <w:ind w:firstLine="708"/>
        <w:jc w:val="both"/>
        <w:rPr>
          <w:b/>
        </w:rPr>
      </w:pPr>
      <w:r w:rsidRPr="007D6222">
        <w:rPr>
          <w:b/>
        </w:rPr>
        <w:t>1.8.1.1. HEMORAGIA SUBCONJUNCTIVALĂ</w:t>
      </w:r>
    </w:p>
    <w:p w:rsidR="007D6222" w:rsidRDefault="007D6222" w:rsidP="007D6222">
      <w:r w:rsidRPr="00AE33E2">
        <w:t xml:space="preserve">Din punct de vedere clinic, hemoragia apare sub forma unei sufuziuni sanguine, de culoare roşietică, localizată în diferite zone ale conjunctivei bulbare sau </w:t>
      </w:r>
      <w:proofErr w:type="spellStart"/>
      <w:r w:rsidRPr="00AE33E2">
        <w:t>tarsale</w:t>
      </w:r>
      <w:proofErr w:type="spellEnd"/>
      <w:r w:rsidRPr="00AE33E2">
        <w:t>.</w:t>
      </w:r>
    </w:p>
    <w:p w:rsidR="007D6222" w:rsidRPr="00EC6FCD" w:rsidRDefault="007D6222" w:rsidP="007D6222">
      <w:pPr>
        <w:ind w:left="708"/>
        <w:jc w:val="both"/>
        <w:rPr>
          <w:b/>
          <w:sz w:val="28"/>
          <w:szCs w:val="28"/>
        </w:rPr>
      </w:pPr>
      <w:r w:rsidRPr="00EC6FCD">
        <w:rPr>
          <w:b/>
          <w:sz w:val="28"/>
          <w:szCs w:val="28"/>
        </w:rPr>
        <w:t xml:space="preserve">8.1.2. </w:t>
      </w:r>
      <w:r>
        <w:rPr>
          <w:b/>
          <w:sz w:val="28"/>
          <w:szCs w:val="28"/>
        </w:rPr>
        <w:t>C</w:t>
      </w:r>
      <w:r w:rsidRPr="00EC6FCD">
        <w:rPr>
          <w:b/>
          <w:sz w:val="28"/>
          <w:szCs w:val="28"/>
        </w:rPr>
        <w:t>orpii străini conjunctivali şi corneeni</w:t>
      </w:r>
    </w:p>
    <w:p w:rsidR="007D6222" w:rsidRDefault="007D6222" w:rsidP="007D6222">
      <w:r w:rsidRPr="00AE33E2">
        <w:t>Sunt de natură diferită (particule de metal - şpan, particule de cărbune, particule vegetale, insecte etc.). Dacă sunt localizaţi sub pleoapa superioară pot să producă leziuni corneene prin reflexul de clipit.</w:t>
      </w:r>
    </w:p>
    <w:p w:rsidR="007D6222" w:rsidRPr="003339A0" w:rsidRDefault="007D6222" w:rsidP="007D6222">
      <w:pPr>
        <w:ind w:firstLine="709"/>
        <w:jc w:val="both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8.1.3. Plăgile corneo-conjunctivale</w:t>
      </w:r>
    </w:p>
    <w:p w:rsidR="007D6222" w:rsidRDefault="007D6222" w:rsidP="007D6222">
      <w:pPr>
        <w:spacing w:line="258" w:lineRule="exact"/>
        <w:ind w:firstLine="709"/>
        <w:jc w:val="both"/>
      </w:pPr>
      <w:r w:rsidRPr="00AE33E2">
        <w:t>Plăgile care interesează conjunctiva şi corneea pot fi foarte severe, determinând pierderea ireversibilă a vederii ochiului afectat. Pot fi neperforante şi perforante, gravitatea deosebită a celor din urmă fiind legată de infectarea mediilor intraoculare, de către obiectul ce a determinat perforarea ochiului (cuţit, foarfece, ac, etc.).</w:t>
      </w:r>
    </w:p>
    <w:p w:rsidR="007D6222" w:rsidRPr="003339A0" w:rsidRDefault="007D6222" w:rsidP="007D6222">
      <w:pPr>
        <w:spacing w:line="250" w:lineRule="exact"/>
        <w:ind w:firstLine="708"/>
        <w:jc w:val="both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lastRenderedPageBreak/>
        <w:t xml:space="preserve">8.1.4. Arsurile corneo-conjunctivale </w:t>
      </w:r>
    </w:p>
    <w:p w:rsidR="007D6222" w:rsidRDefault="007D6222" w:rsidP="007D6222">
      <w:r w:rsidRPr="00942A83">
        <w:t>Sunt de natură fizică şi chimică. Cele mai grave sunt arsurile chimice produse de substanţe bazice (sodă caustică, var, amoniac etc.).</w:t>
      </w:r>
    </w:p>
    <w:p w:rsidR="007D6222" w:rsidRPr="003339A0" w:rsidRDefault="007D6222" w:rsidP="007D6222">
      <w:pPr>
        <w:numPr>
          <w:ilvl w:val="2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3339A0">
        <w:rPr>
          <w:sz w:val="28"/>
          <w:szCs w:val="28"/>
        </w:rPr>
        <w:t>L</w:t>
      </w:r>
      <w:r w:rsidRPr="003339A0">
        <w:rPr>
          <w:b/>
          <w:sz w:val="28"/>
          <w:szCs w:val="28"/>
        </w:rPr>
        <w:t>uxaţia şi subluxaţia de cristalin</w:t>
      </w:r>
    </w:p>
    <w:p w:rsidR="007D6222" w:rsidRPr="00AE33E2" w:rsidRDefault="007D6222" w:rsidP="007D6222">
      <w:pPr>
        <w:ind w:firstLine="708"/>
        <w:jc w:val="both"/>
      </w:pPr>
      <w:r w:rsidRPr="00AE33E2">
        <w:t xml:space="preserve">In contuziile forte oculare (lovituri cu pumnul, piatra, etc.) cristalinul poate fi dislocat din lojă datorită rupturii </w:t>
      </w:r>
      <w:proofErr w:type="spellStart"/>
      <w:r w:rsidRPr="00AE33E2">
        <w:t>zonulei</w:t>
      </w:r>
      <w:proofErr w:type="spellEnd"/>
      <w:r w:rsidRPr="00AE33E2">
        <w:t xml:space="preserve"> </w:t>
      </w:r>
      <w:proofErr w:type="spellStart"/>
      <w:r w:rsidRPr="00AE33E2">
        <w:t>Zinn</w:t>
      </w:r>
      <w:proofErr w:type="spellEnd"/>
      <w:r w:rsidRPr="00AE33E2">
        <w:t>:</w:t>
      </w:r>
    </w:p>
    <w:p w:rsidR="00F65A0F" w:rsidRPr="003339A0" w:rsidRDefault="00F65A0F" w:rsidP="00F65A0F">
      <w:pPr>
        <w:spacing w:line="250" w:lineRule="exact"/>
        <w:ind w:firstLine="708"/>
        <w:jc w:val="both"/>
        <w:rPr>
          <w:b/>
          <w:bCs/>
          <w:sz w:val="28"/>
          <w:szCs w:val="28"/>
        </w:rPr>
      </w:pPr>
      <w:r w:rsidRPr="003339A0">
        <w:rPr>
          <w:b/>
          <w:bCs/>
          <w:sz w:val="28"/>
          <w:szCs w:val="28"/>
        </w:rPr>
        <w:t>8.2. TRAUMATISME DE POL POSTERIOR</w:t>
      </w:r>
    </w:p>
    <w:p w:rsidR="00F65A0F" w:rsidRDefault="00F65A0F" w:rsidP="00F65A0F">
      <w:pPr>
        <w:spacing w:line="250" w:lineRule="exact"/>
        <w:ind w:firstLine="708"/>
        <w:jc w:val="both"/>
        <w:rPr>
          <w:b/>
          <w:bCs/>
        </w:rPr>
      </w:pPr>
    </w:p>
    <w:p w:rsidR="00F65A0F" w:rsidRDefault="00F65A0F" w:rsidP="00F65A0F">
      <w:pPr>
        <w:spacing w:line="250" w:lineRule="exact"/>
        <w:ind w:firstLine="708"/>
        <w:jc w:val="both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 xml:space="preserve">8.2.1. Traumatisme ale retinei si coroidei </w:t>
      </w:r>
    </w:p>
    <w:p w:rsidR="00F65A0F" w:rsidRPr="003339A0" w:rsidRDefault="00F65A0F" w:rsidP="00F65A0F">
      <w:pPr>
        <w:spacing w:line="25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339A0">
        <w:rPr>
          <w:b/>
          <w:sz w:val="28"/>
          <w:szCs w:val="28"/>
        </w:rPr>
        <w:t xml:space="preserve">edemul traumatic </w:t>
      </w:r>
      <w:proofErr w:type="spellStart"/>
      <w:r w:rsidRPr="003339A0">
        <w:rPr>
          <w:b/>
          <w:sz w:val="28"/>
          <w:szCs w:val="28"/>
        </w:rPr>
        <w:t>berlin</w:t>
      </w:r>
      <w:proofErr w:type="spellEnd"/>
      <w:r w:rsidRPr="003339A0">
        <w:rPr>
          <w:b/>
          <w:sz w:val="28"/>
          <w:szCs w:val="28"/>
        </w:rPr>
        <w:t xml:space="preserve"> / rupturile retiniene şi coroidiene </w:t>
      </w:r>
    </w:p>
    <w:p w:rsidR="007D6222" w:rsidRDefault="00F65A0F" w:rsidP="00F65A0F">
      <w:r w:rsidRPr="00AE33E2">
        <w:t>In cazul în care contuzia oculară este foarte puternică, forţa traumatismului se propagă la nivelul polului ocular posterior, determinând leziuni foarte severe la nivelul structurilor acestuia</w:t>
      </w:r>
    </w:p>
    <w:p w:rsidR="00F65A0F" w:rsidRPr="00511D5A" w:rsidRDefault="00F65A0F" w:rsidP="00F65A0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8.2.2.  T</w:t>
      </w:r>
      <w:r w:rsidRPr="00511D5A">
        <w:rPr>
          <w:b/>
          <w:sz w:val="28"/>
          <w:szCs w:val="28"/>
        </w:rPr>
        <w:t>raumatismele nervului optic</w:t>
      </w:r>
    </w:p>
    <w:p w:rsidR="00F65A0F" w:rsidRPr="00376838" w:rsidRDefault="00F65A0F" w:rsidP="00F65A0F">
      <w:pPr>
        <w:ind w:firstLine="708"/>
        <w:jc w:val="both"/>
      </w:pPr>
      <w:r w:rsidRPr="00376838">
        <w:t xml:space="preserve">Traumatismele nervului optic pot fi directe şi indirecte. </w:t>
      </w:r>
    </w:p>
    <w:p w:rsidR="00F65A0F" w:rsidRDefault="00F65A0F" w:rsidP="00F65A0F">
      <w:pPr>
        <w:numPr>
          <w:ilvl w:val="0"/>
          <w:numId w:val="2"/>
        </w:numPr>
        <w:spacing w:after="0" w:line="240" w:lineRule="auto"/>
        <w:jc w:val="both"/>
      </w:pPr>
      <w:r w:rsidRPr="00376838">
        <w:t>traumatismele directe sunt produse prin penetrarea directă a agentului vulnerant ascuţit în orbită, cu lezarea directă a nervului optic ;</w:t>
      </w:r>
    </w:p>
    <w:p w:rsidR="00F65A0F" w:rsidRDefault="00F65A0F" w:rsidP="00F65A0F">
      <w:pPr>
        <w:numPr>
          <w:ilvl w:val="0"/>
          <w:numId w:val="2"/>
        </w:numPr>
        <w:spacing w:after="0" w:line="240" w:lineRule="auto"/>
        <w:jc w:val="both"/>
      </w:pPr>
      <w:r w:rsidRPr="00376838">
        <w:t>traumatismele indirecte se produc prin intermediul unor leziuni orbitare, craniene sau la distanţă.</w:t>
      </w:r>
    </w:p>
    <w:p w:rsidR="00F65A0F" w:rsidRPr="00376838" w:rsidRDefault="00F65A0F" w:rsidP="00F65A0F">
      <w:pPr>
        <w:pStyle w:val="Heading6"/>
        <w:spacing w:line="240" w:lineRule="auto"/>
        <w:ind w:firstLine="348"/>
      </w:pPr>
      <w:r w:rsidRPr="00376838">
        <w:t>Traumatismele nervului optic în fracturi craniene </w:t>
      </w:r>
    </w:p>
    <w:p w:rsidR="00F65A0F" w:rsidRDefault="00F65A0F" w:rsidP="00F65A0F">
      <w:pPr>
        <w:spacing w:after="0" w:line="240" w:lineRule="auto"/>
        <w:jc w:val="both"/>
      </w:pPr>
      <w:r w:rsidRPr="00376838">
        <w:t>Sunt mai frecvent întâlnite, fiind în general produse în fracturi cerebrale ale etajului anterior</w:t>
      </w:r>
    </w:p>
    <w:p w:rsidR="00F65A0F" w:rsidRPr="00376838" w:rsidRDefault="00F65A0F" w:rsidP="00F65A0F">
      <w:pPr>
        <w:pStyle w:val="Heading5"/>
        <w:ind w:firstLine="708"/>
      </w:pPr>
      <w:r w:rsidRPr="00376838">
        <w:t xml:space="preserve">Sindromul </w:t>
      </w:r>
      <w:proofErr w:type="spellStart"/>
      <w:r w:rsidRPr="00376838">
        <w:t>Purtcher</w:t>
      </w:r>
      <w:proofErr w:type="spellEnd"/>
    </w:p>
    <w:p w:rsidR="00F65A0F" w:rsidRDefault="00F65A0F" w:rsidP="00F65A0F">
      <w:pPr>
        <w:spacing w:after="0" w:line="240" w:lineRule="auto"/>
        <w:jc w:val="both"/>
      </w:pPr>
      <w:r w:rsidRPr="00376838">
        <w:t xml:space="preserve">Sindromul </w:t>
      </w:r>
      <w:proofErr w:type="spellStart"/>
      <w:r w:rsidRPr="00376838">
        <w:t>Purtcher</w:t>
      </w:r>
      <w:proofErr w:type="spellEnd"/>
      <w:r w:rsidRPr="00376838">
        <w:t xml:space="preserve"> apare în traumatismele grave toracice, caracterizându-se prin apariţia unui edem retinian de stază,</w:t>
      </w:r>
    </w:p>
    <w:p w:rsidR="00F65A0F" w:rsidRDefault="00F65A0F" w:rsidP="00F65A0F">
      <w:pPr>
        <w:spacing w:after="0" w:line="240" w:lineRule="auto"/>
        <w:jc w:val="both"/>
      </w:pPr>
    </w:p>
    <w:p w:rsidR="00F65A0F" w:rsidRPr="00511D5A" w:rsidRDefault="00F65A0F" w:rsidP="00F65A0F">
      <w:pPr>
        <w:spacing w:line="250" w:lineRule="exact"/>
        <w:ind w:firstLine="708"/>
        <w:jc w:val="both"/>
        <w:rPr>
          <w:b/>
          <w:bCs/>
          <w:sz w:val="28"/>
          <w:szCs w:val="28"/>
        </w:rPr>
      </w:pPr>
      <w:r w:rsidRPr="00511D5A">
        <w:rPr>
          <w:b/>
          <w:bCs/>
          <w:sz w:val="28"/>
          <w:szCs w:val="28"/>
        </w:rPr>
        <w:t>8.3. COMPLICAŢII ALE TRAUMATISMELOR OCULARE</w:t>
      </w:r>
    </w:p>
    <w:p w:rsidR="00F65A0F" w:rsidRDefault="00F65A0F" w:rsidP="00F65A0F">
      <w:pPr>
        <w:spacing w:line="250" w:lineRule="exact"/>
        <w:ind w:firstLine="708"/>
        <w:jc w:val="both"/>
      </w:pPr>
    </w:p>
    <w:p w:rsidR="00F65A0F" w:rsidRDefault="00F65A0F" w:rsidP="00F65A0F">
      <w:pPr>
        <w:ind w:firstLine="360"/>
      </w:pPr>
      <w:r>
        <w:t xml:space="preserve">Traumatismele oculare se soldează cu multe complicaţii ce determină pierderi </w:t>
      </w:r>
      <w:proofErr w:type="spellStart"/>
      <w:r>
        <w:t>oireversibile</w:t>
      </w:r>
      <w:proofErr w:type="spellEnd"/>
      <w:r>
        <w:t xml:space="preserve"> funcţionale ale vederii, uneori ajungând la pierderea anatomică a globului ocular.</w:t>
      </w:r>
    </w:p>
    <w:p w:rsidR="00F65A0F" w:rsidRDefault="00F65A0F" w:rsidP="00F65A0F">
      <w:pPr>
        <w:ind w:firstLine="360"/>
      </w:pPr>
      <w:r>
        <w:t>Dintre complicaţiile traumatismelor oculare menţionăm:</w:t>
      </w:r>
    </w:p>
    <w:p w:rsidR="00F65A0F" w:rsidRDefault="00F65A0F" w:rsidP="00F65A0F">
      <w:pPr>
        <w:numPr>
          <w:ilvl w:val="0"/>
          <w:numId w:val="3"/>
        </w:numPr>
        <w:spacing w:after="0" w:line="240" w:lineRule="auto"/>
      </w:pPr>
      <w:r>
        <w:t xml:space="preserve">Glaucomul secundar. </w:t>
      </w:r>
    </w:p>
    <w:p w:rsidR="00F65A0F" w:rsidRDefault="00F65A0F" w:rsidP="00F65A0F">
      <w:pPr>
        <w:numPr>
          <w:ilvl w:val="0"/>
          <w:numId w:val="3"/>
        </w:numPr>
        <w:spacing w:after="0" w:line="240" w:lineRule="auto"/>
      </w:pPr>
      <w:r>
        <w:t>Decolarea de retină</w:t>
      </w:r>
    </w:p>
    <w:p w:rsidR="00F65A0F" w:rsidRDefault="00F65A0F" w:rsidP="00F65A0F">
      <w:pPr>
        <w:numPr>
          <w:ilvl w:val="0"/>
          <w:numId w:val="3"/>
        </w:numPr>
        <w:spacing w:after="0" w:line="240" w:lineRule="auto"/>
      </w:pPr>
      <w:r>
        <w:t>Hemoragiile intraoculare</w:t>
      </w:r>
    </w:p>
    <w:p w:rsidR="00F65A0F" w:rsidRDefault="00F65A0F" w:rsidP="00F65A0F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Endoftalmia</w:t>
      </w:r>
      <w:proofErr w:type="spellEnd"/>
      <w:r>
        <w:t>. Panoftalmia</w:t>
      </w:r>
    </w:p>
    <w:p w:rsidR="00F65A0F" w:rsidRDefault="00F65A0F" w:rsidP="00F65A0F">
      <w:pPr>
        <w:numPr>
          <w:ilvl w:val="0"/>
          <w:numId w:val="3"/>
        </w:numPr>
        <w:spacing w:after="0" w:line="240" w:lineRule="auto"/>
        <w:jc w:val="both"/>
      </w:pPr>
      <w:r>
        <w:t>Oftalmia simpatică</w:t>
      </w:r>
    </w:p>
    <w:p w:rsidR="00F65A0F" w:rsidRDefault="00F65A0F" w:rsidP="00F65A0F">
      <w:pPr>
        <w:spacing w:after="0" w:line="240" w:lineRule="auto"/>
        <w:jc w:val="both"/>
      </w:pPr>
    </w:p>
    <w:p w:rsidR="00F65A0F" w:rsidRPr="00F65A0F" w:rsidRDefault="00F65A0F" w:rsidP="00F65A0F">
      <w:pPr>
        <w:widowControl w:val="0"/>
        <w:ind w:left="720"/>
        <w:jc w:val="both"/>
        <w:rPr>
          <w:sz w:val="24"/>
          <w:szCs w:val="24"/>
        </w:rPr>
      </w:pPr>
      <w:r w:rsidRPr="00F65A0F">
        <w:rPr>
          <w:sz w:val="24"/>
          <w:szCs w:val="24"/>
        </w:rPr>
        <w:lastRenderedPageBreak/>
        <w:t>ENDOFTALMIA ŞI PANOFTALMIA</w:t>
      </w:r>
    </w:p>
    <w:p w:rsidR="00F65A0F" w:rsidRDefault="00F65A0F" w:rsidP="00F65A0F">
      <w:r w:rsidRPr="00F13B91">
        <w:t xml:space="preserve">Termenii de </w:t>
      </w:r>
      <w:proofErr w:type="spellStart"/>
      <w:r w:rsidRPr="00F13B91">
        <w:t>endoftalmie</w:t>
      </w:r>
      <w:proofErr w:type="spellEnd"/>
      <w:r w:rsidRPr="00F13B91">
        <w:t xml:space="preserve"> sau panoftalmie (denumiri mai vechi </w:t>
      </w:r>
      <w:proofErr w:type="spellStart"/>
      <w:r w:rsidRPr="00F13B91">
        <w:t>-oftalmie</w:t>
      </w:r>
      <w:proofErr w:type="spellEnd"/>
      <w:r w:rsidRPr="00F13B91">
        <w:t xml:space="preserve"> purulentă profundă, </w:t>
      </w:r>
      <w:proofErr w:type="spellStart"/>
      <w:r w:rsidRPr="00F13B91">
        <w:t>uveită</w:t>
      </w:r>
      <w:proofErr w:type="spellEnd"/>
      <w:r w:rsidRPr="00F13B91">
        <w:t xml:space="preserve"> septică difuză acută, flegmon ocular), dau imaginea clinică a unei afecţiuni deosebit de grave, cu mare potenţial de </w:t>
      </w:r>
      <w:proofErr w:type="spellStart"/>
      <w:r w:rsidRPr="00F13B91">
        <w:t>distrucţie</w:t>
      </w:r>
      <w:proofErr w:type="spellEnd"/>
      <w:r w:rsidRPr="00F13B91">
        <w:t xml:space="preserve"> a membranelor vizuale şi a vitrosului.  </w:t>
      </w:r>
    </w:p>
    <w:p w:rsidR="00F65A0F" w:rsidRPr="00F65A0F" w:rsidRDefault="00F65A0F" w:rsidP="00F65A0F">
      <w:pPr>
        <w:pStyle w:val="DenumFig"/>
        <w:rPr>
          <w:b w:val="0"/>
          <w:sz w:val="22"/>
          <w:szCs w:val="22"/>
          <w:lang w:val="ro-RO"/>
        </w:rPr>
      </w:pPr>
      <w:r w:rsidRPr="00F65A0F">
        <w:rPr>
          <w:b w:val="0"/>
          <w:sz w:val="22"/>
          <w:szCs w:val="22"/>
          <w:lang w:val="ro-RO"/>
        </w:rPr>
        <w:t>OFTALMIA SIMPATICA</w:t>
      </w:r>
    </w:p>
    <w:p w:rsidR="00F65A0F" w:rsidRPr="00F65A0F" w:rsidRDefault="00F65A0F" w:rsidP="00F65A0F">
      <w:pPr>
        <w:pStyle w:val="DenumFig"/>
        <w:rPr>
          <w:b w:val="0"/>
          <w:sz w:val="12"/>
          <w:szCs w:val="12"/>
          <w:lang w:val="ro-RO"/>
        </w:rPr>
      </w:pPr>
    </w:p>
    <w:p w:rsidR="00F65A0F" w:rsidRDefault="00F65A0F" w:rsidP="00F65A0F">
      <w:r>
        <w:t xml:space="preserve">Oftalmia simpatică se prezintă ca o </w:t>
      </w:r>
      <w:proofErr w:type="spellStart"/>
      <w:r>
        <w:t>uveită</w:t>
      </w:r>
      <w:proofErr w:type="spellEnd"/>
      <w:r>
        <w:t xml:space="preserve"> bilaterală gravă, ce evoluează în </w:t>
      </w:r>
      <w:proofErr w:type="spellStart"/>
      <w:r>
        <w:t>pusee</w:t>
      </w:r>
      <w:proofErr w:type="spellEnd"/>
      <w:r>
        <w:t xml:space="preserve">, către cecitate, fiind determinată de o plagă penetrantă de regulă cu interesarea zonei ciliare la unul dintre ochi. Afecţiunea debutează cu </w:t>
      </w:r>
      <w:proofErr w:type="spellStart"/>
      <w:r>
        <w:t>uveită</w:t>
      </w:r>
      <w:proofErr w:type="spellEnd"/>
      <w:r>
        <w:t xml:space="preserve"> anterioară şi posterioară la ochiul traumatizat (ochi simpatizant), după care la un interval de timp care variază de la câteva săptămâni la </w:t>
      </w:r>
      <w:proofErr w:type="spellStart"/>
      <w:r>
        <w:t>căteva</w:t>
      </w:r>
      <w:proofErr w:type="spellEnd"/>
      <w:r>
        <w:t xml:space="preserve"> luni, se manifestă şi la ochiul congener, unde de regulă evoluează şi mai grav. Ca interval de timp, cea mai periculoasă perioadă în ceea ce priveşte declanşarea bolii este situată între săptămânile a 4-a şi a 8-a de la accident. Afecţiunea apare cu totul excepţional înainte de 2 săptămâni de la accident. În 80% din cazuri debutul este situat în primele 3 luni de la accident.</w:t>
      </w:r>
    </w:p>
    <w:p w:rsidR="00F65A0F" w:rsidRDefault="00F65A0F" w:rsidP="00F65A0F">
      <w:r>
        <w:rPr>
          <w:noProof/>
          <w:lang w:val="en-US"/>
        </w:rPr>
        <w:drawing>
          <wp:inline distT="0" distB="0" distL="0" distR="0">
            <wp:extent cx="5246370" cy="3554095"/>
            <wp:effectExtent l="0" t="0" r="0" b="8255"/>
            <wp:docPr id="1" name="Picture 1" descr="R004-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004-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F65A0F" w:rsidRDefault="00F65A0F" w:rsidP="00F65A0F">
      <w:proofErr w:type="spellStart"/>
      <w:r>
        <w:t>Spani</w:t>
      </w:r>
      <w:proofErr w:type="spellEnd"/>
      <w:r>
        <w:t xml:space="preserve"> multiplii</w:t>
      </w:r>
    </w:p>
    <w:p w:rsidR="00F65A0F" w:rsidRDefault="00F65A0F" w:rsidP="00F65A0F">
      <w:r>
        <w:rPr>
          <w:noProof/>
          <w:lang w:val="en-US"/>
        </w:rPr>
        <w:lastRenderedPageBreak/>
        <w:drawing>
          <wp:inline distT="0" distB="0" distL="0" distR="0">
            <wp:extent cx="5095875" cy="3438525"/>
            <wp:effectExtent l="0" t="0" r="9525" b="9525"/>
            <wp:docPr id="2" name="Picture 2" descr="R005-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005-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0F" w:rsidRDefault="00F65A0F" w:rsidP="00F65A0F">
      <w:proofErr w:type="spellStart"/>
      <w:r>
        <w:t>Hipema</w:t>
      </w:r>
      <w:proofErr w:type="spellEnd"/>
    </w:p>
    <w:p w:rsidR="00F65A0F" w:rsidRDefault="00F65A0F" w:rsidP="00F65A0F">
      <w:r>
        <w:rPr>
          <w:noProof/>
          <w:lang w:val="en-US"/>
        </w:rPr>
        <w:drawing>
          <wp:inline distT="0" distB="0" distL="0" distR="0">
            <wp:extent cx="5141595" cy="3422650"/>
            <wp:effectExtent l="0" t="0" r="1905" b="6350"/>
            <wp:docPr id="3" name="Picture 3" descr="R003-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003-0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0F" w:rsidRDefault="00F65A0F" w:rsidP="00F65A0F">
      <w:proofErr w:type="spellStart"/>
      <w:r>
        <w:t>Hemoftalmus</w:t>
      </w:r>
      <w:proofErr w:type="spellEnd"/>
    </w:p>
    <w:p w:rsidR="00F65A0F" w:rsidRDefault="00F65A0F" w:rsidP="00F65A0F"/>
    <w:p w:rsidR="00F65A0F" w:rsidRDefault="00F65A0F" w:rsidP="00F65A0F">
      <w:r>
        <w:rPr>
          <w:noProof/>
          <w:lang w:val="en-US"/>
        </w:rPr>
        <w:lastRenderedPageBreak/>
        <w:drawing>
          <wp:inline distT="0" distB="0" distL="0" distR="0">
            <wp:extent cx="5543550" cy="3695700"/>
            <wp:effectExtent l="0" t="0" r="0" b="0"/>
            <wp:docPr id="4" name="Picture 4" descr="R001-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001-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0F" w:rsidRDefault="00F65A0F" w:rsidP="00F65A0F">
      <w:r>
        <w:t xml:space="preserve">Ruptura </w:t>
      </w:r>
      <w:proofErr w:type="spellStart"/>
      <w:r>
        <w:t>sfincteriana</w:t>
      </w:r>
      <w:proofErr w:type="spellEnd"/>
    </w:p>
    <w:p w:rsidR="00F65A0F" w:rsidRDefault="00F65A0F" w:rsidP="00F65A0F">
      <w:r>
        <w:rPr>
          <w:noProof/>
          <w:lang w:val="en-US"/>
        </w:rPr>
        <w:drawing>
          <wp:inline distT="0" distB="0" distL="0" distR="0">
            <wp:extent cx="5543550" cy="3695700"/>
            <wp:effectExtent l="0" t="0" r="0" b="0"/>
            <wp:docPr id="5" name="Picture 5" descr="R002-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002-0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CA" w:rsidRDefault="002D3CCA" w:rsidP="00F65A0F">
      <w:r>
        <w:t xml:space="preserve">Ruptura </w:t>
      </w:r>
      <w:proofErr w:type="spellStart"/>
      <w:r>
        <w:t>sfincteriana</w:t>
      </w:r>
      <w:proofErr w:type="spellEnd"/>
      <w:r>
        <w:t xml:space="preserve"> cu cataracta traumatica si corp </w:t>
      </w:r>
      <w:proofErr w:type="spellStart"/>
      <w:r>
        <w:t>strain</w:t>
      </w:r>
      <w:proofErr w:type="spellEnd"/>
      <w:r>
        <w:t xml:space="preserve"> intraocular</w:t>
      </w:r>
      <w:bookmarkStart w:id="0" w:name="_GoBack"/>
      <w:bookmarkEnd w:id="0"/>
    </w:p>
    <w:sectPr w:rsidR="002D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7DB6"/>
    <w:multiLevelType w:val="hybridMultilevel"/>
    <w:tmpl w:val="B2CCEE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F139E"/>
    <w:multiLevelType w:val="hybridMultilevel"/>
    <w:tmpl w:val="91E0C574"/>
    <w:lvl w:ilvl="0" w:tplc="0418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8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4040759"/>
    <w:multiLevelType w:val="multilevel"/>
    <w:tmpl w:val="B8984C9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22"/>
    <w:rsid w:val="002332DB"/>
    <w:rsid w:val="002D3CCA"/>
    <w:rsid w:val="007D6222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22"/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65A0F"/>
    <w:pPr>
      <w:keepNext/>
      <w:spacing w:after="0" w:line="266" w:lineRule="exact"/>
      <w:ind w:left="360"/>
      <w:jc w:val="both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2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D622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7D622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F65A0F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0F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customStyle="1" w:styleId="DenumFig">
    <w:name w:val="DenumFig"/>
    <w:basedOn w:val="BodyText3"/>
    <w:rsid w:val="00F65A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hadow/>
      <w:noProof/>
      <w:snapToGrid w:val="0"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5A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5A0F"/>
    <w:rPr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0F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22"/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65A0F"/>
    <w:pPr>
      <w:keepNext/>
      <w:spacing w:after="0" w:line="266" w:lineRule="exact"/>
      <w:ind w:left="360"/>
      <w:jc w:val="both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2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D622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7D622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F65A0F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0F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paragraph" w:customStyle="1" w:styleId="DenumFig">
    <w:name w:val="DenumFig"/>
    <w:basedOn w:val="BodyText3"/>
    <w:rsid w:val="00F65A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hadow/>
      <w:noProof/>
      <w:snapToGrid w:val="0"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5A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5A0F"/>
    <w:rPr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0F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2021-01-16T15:19:00Z</dcterms:created>
  <dcterms:modified xsi:type="dcterms:W3CDTF">2021-01-16T15:43:00Z</dcterms:modified>
</cp:coreProperties>
</file>